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9C" w:rsidRDefault="00B57EA2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57EA2" w:rsidRPr="00A71A9C" w:rsidRDefault="00B57EA2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Чапаевская средняя общеобразовательная школа</w:t>
      </w:r>
    </w:p>
    <w:p w:rsidR="00A71A9C" w:rsidRDefault="00A71A9C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A9C" w:rsidRPr="00A71A9C" w:rsidRDefault="00745507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202565</wp:posOffset>
                </wp:positionV>
                <wp:extent cx="3407410" cy="1121410"/>
                <wp:effectExtent l="0" t="254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EA2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B57EA2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B57EA2" w:rsidRPr="00A71A9C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7455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Эсиргепов Д.А.</w:t>
                            </w:r>
                          </w:p>
                          <w:p w:rsidR="00B57EA2" w:rsidRPr="00A71A9C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5pt;margin-top:15.95pt;width:268.3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    <v:textbox>
                  <w:txbxContent>
                    <w:p w:rsidR="00B57EA2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B57EA2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B57EA2" w:rsidRPr="00A71A9C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7455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Эсиргепов Д.А.</w:t>
                      </w:r>
                    </w:p>
                    <w:p w:rsidR="00B57EA2" w:rsidRPr="00A71A9C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666EC0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обучающихся на 2020-2021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A71A9C" w:rsidRDefault="00745507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2020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1</w:t>
      </w:r>
      <w:r w:rsidR="00362BCF">
        <w:rPr>
          <w:bCs/>
          <w:sz w:val="40"/>
          <w:szCs w:val="40"/>
        </w:rPr>
        <w:t xml:space="preserve"> </w:t>
      </w:r>
      <w:r w:rsidR="00A71A9C" w:rsidRPr="00A71A9C">
        <w:rPr>
          <w:bCs/>
          <w:sz w:val="40"/>
          <w:szCs w:val="40"/>
        </w:rPr>
        <w:t>г.г.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C374C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48895</wp:posOffset>
            </wp:positionV>
            <wp:extent cx="1771650" cy="1628775"/>
            <wp:effectExtent l="0" t="0" r="0" b="0"/>
            <wp:wrapSquare wrapText="bothSides"/>
            <wp:docPr id="1" name="Рисунок 1" descr="Профком студентов МАДИ - Питание в санатории-профилак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ком студентов МАДИ - Питание в санатории-профилактор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задачи;принципы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серьѐзно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создаѐт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AB3114" w:rsidRPr="00AB3114">
              <w:rPr>
                <w:sz w:val="23"/>
                <w:szCs w:val="23"/>
              </w:rPr>
              <w:t>классных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bookmarkStart w:id="0" w:name="_GoBack"/>
            <w:bookmarkEnd w:id="0"/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AF2630">
      <w:pPr>
        <w:pStyle w:val="Default"/>
      </w:pPr>
    </w:p>
    <w:p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весоизмерительного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215627" w:rsidRPr="0082137F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215627">
      <w:pPr>
        <w:pStyle w:val="Default"/>
        <w:rPr>
          <w:sz w:val="23"/>
          <w:szCs w:val="23"/>
        </w:rPr>
      </w:pP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: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результатов.Слишком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Смотрит телевизор во время еды..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Чизбургеры/бутерброды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трѐх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кириешки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всѐ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всѐ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90E" w:rsidRDefault="00B3790E" w:rsidP="00256287">
      <w:pPr>
        <w:spacing w:after="0" w:line="240" w:lineRule="auto"/>
      </w:pPr>
      <w:r>
        <w:separator/>
      </w:r>
    </w:p>
  </w:endnote>
  <w:endnote w:type="continuationSeparator" w:id="0">
    <w:p w:rsidR="00B3790E" w:rsidRDefault="00B3790E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2236"/>
      <w:docPartObj>
        <w:docPartGallery w:val="Page Numbers (Bottom of Page)"/>
        <w:docPartUnique/>
      </w:docPartObj>
    </w:sdtPr>
    <w:sdtEndPr/>
    <w:sdtContent>
      <w:p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74550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90E" w:rsidRDefault="00B3790E" w:rsidP="00256287">
      <w:pPr>
        <w:spacing w:after="0" w:line="240" w:lineRule="auto"/>
      </w:pPr>
      <w:r>
        <w:separator/>
      </w:r>
    </w:p>
  </w:footnote>
  <w:footnote w:type="continuationSeparator" w:id="0">
    <w:p w:rsidR="00B3790E" w:rsidRDefault="00B3790E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335E9"/>
    <w:rsid w:val="00362BCF"/>
    <w:rsid w:val="00451246"/>
    <w:rsid w:val="004A04B8"/>
    <w:rsid w:val="004B34D7"/>
    <w:rsid w:val="005133B8"/>
    <w:rsid w:val="0052598C"/>
    <w:rsid w:val="00535C17"/>
    <w:rsid w:val="00666EC0"/>
    <w:rsid w:val="00745507"/>
    <w:rsid w:val="007704D4"/>
    <w:rsid w:val="00791925"/>
    <w:rsid w:val="0080476D"/>
    <w:rsid w:val="0082137F"/>
    <w:rsid w:val="00870F31"/>
    <w:rsid w:val="00953075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F399E-4227-4F25-BE8E-E0921BA6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2BA4F-94A0-408D-8AEA-E11738A9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4815</Words>
  <Characters>27449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2020-09-04T11:20:00Z</dcterms:created>
  <dcterms:modified xsi:type="dcterms:W3CDTF">2020-09-04T11:20:00Z</dcterms:modified>
</cp:coreProperties>
</file>